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1E80" w14:textId="6A9153E0" w:rsidR="00CA7855" w:rsidRPr="00516E11" w:rsidRDefault="007B56A1" w:rsidP="007B56A1">
      <w:pPr>
        <w:rPr>
          <w:rFonts w:ascii="Posterama" w:hAnsi="Posterama" w:cs="Posterama"/>
          <w:sz w:val="32"/>
          <w:szCs w:val="32"/>
        </w:rPr>
      </w:pPr>
      <w:r w:rsidRPr="00516E11">
        <w:rPr>
          <w:rFonts w:ascii="Posterama" w:hAnsi="Posterama" w:cs="Posterama"/>
          <w:sz w:val="32"/>
          <w:szCs w:val="32"/>
        </w:rPr>
        <w:t>Brf Sobeln 1</w:t>
      </w:r>
    </w:p>
    <w:p w14:paraId="7B373516" w14:textId="77777777" w:rsidR="00516E11" w:rsidRPr="007B56A1" w:rsidRDefault="00516E11" w:rsidP="007B56A1">
      <w:pPr>
        <w:rPr>
          <w:rFonts w:ascii="Arial" w:hAnsi="Arial" w:cs="Arial"/>
          <w:sz w:val="28"/>
          <w:szCs w:val="28"/>
        </w:rPr>
      </w:pPr>
    </w:p>
    <w:p w14:paraId="1B3C2FA4" w14:textId="37417A59" w:rsidR="007B56A1" w:rsidRPr="00603E25" w:rsidRDefault="00F877E2" w:rsidP="00F877E2">
      <w:pPr>
        <w:jc w:val="both"/>
        <w:rPr>
          <w:rStyle w:val="Starkreferens"/>
          <w:rFonts w:ascii="Arial" w:hAnsi="Arial" w:cs="Arial"/>
          <w:b w:val="0"/>
          <w:bCs w:val="0"/>
          <w:caps/>
          <w:smallCaps w:val="0"/>
          <w:color w:val="auto"/>
          <w:sz w:val="28"/>
          <w:szCs w:val="28"/>
        </w:rPr>
      </w:pPr>
      <w:r w:rsidRPr="00603E25">
        <w:rPr>
          <w:rStyle w:val="Starkreferens"/>
          <w:rFonts w:ascii="Arial" w:hAnsi="Arial" w:cs="Arial"/>
          <w:b w:val="0"/>
          <w:bCs w:val="0"/>
          <w:caps/>
          <w:smallCaps w:val="0"/>
          <w:color w:val="auto"/>
          <w:sz w:val="28"/>
          <w:szCs w:val="28"/>
        </w:rPr>
        <w:t xml:space="preserve">    </w:t>
      </w:r>
      <w:r w:rsidR="007963F7" w:rsidRPr="00603E25">
        <w:rPr>
          <w:rStyle w:val="Starkreferens"/>
          <w:rFonts w:ascii="Arial" w:hAnsi="Arial" w:cs="Arial"/>
          <w:b w:val="0"/>
          <w:bCs w:val="0"/>
          <w:caps/>
          <w:smallCaps w:val="0"/>
          <w:color w:val="auto"/>
          <w:sz w:val="28"/>
          <w:szCs w:val="28"/>
        </w:rPr>
        <w:t>hur förebygger man skador i sin lägenhet</w:t>
      </w:r>
    </w:p>
    <w:p w14:paraId="65FF74C2" w14:textId="77777777" w:rsidR="009B3694" w:rsidRPr="00603E25" w:rsidRDefault="009B3694" w:rsidP="00F877E2">
      <w:pPr>
        <w:jc w:val="both"/>
        <w:rPr>
          <w:rStyle w:val="Starkreferens"/>
          <w:rFonts w:ascii="Arial" w:hAnsi="Arial" w:cs="Arial"/>
          <w:b w:val="0"/>
          <w:bCs w:val="0"/>
          <w:caps/>
          <w:smallCaps w:val="0"/>
          <w:color w:val="auto"/>
          <w:sz w:val="16"/>
          <w:szCs w:val="16"/>
        </w:rPr>
      </w:pPr>
    </w:p>
    <w:p w14:paraId="3725A11F" w14:textId="2229EABA" w:rsidR="007963F7" w:rsidRDefault="007963F7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 w:rsidRPr="007963F7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Enligt vår </w:t>
      </w:r>
      <w:proofErr w:type="gramStart"/>
      <w:r w:rsidRPr="007963F7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förenings stadgar</w:t>
      </w:r>
      <w:proofErr w:type="gramEnd"/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skall bostadsrättsinnehavaren på egen bekostnad hålla </w:t>
      </w:r>
      <w:r w:rsidR="00C36522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lägenheten i gott skick.</w:t>
      </w:r>
      <w:r w:rsidR="00834D32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 Underhållsskyldigheten omfattar </w:t>
      </w:r>
      <w:r w:rsidR="00F877E2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till exempel lägenhetens målning, tapeter, golvbeläggning, dörrar, fönster, sanitetsgods och vitvaror som spis, kyl och frys.</w:t>
      </w:r>
      <w:r w:rsidR="004422F9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Härnedan har vi listat några råd och tips på vad man själv kan göra för att förebygga de vanligaste skadorna om olyckan skulle vara fr</w:t>
      </w:r>
      <w:r w:rsidR="00B71307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a</w:t>
      </w:r>
      <w:r w:rsidR="004422F9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mme.</w:t>
      </w:r>
    </w:p>
    <w:p w14:paraId="3D1EA2E9" w14:textId="77777777" w:rsidR="009B3694" w:rsidRDefault="009B369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12E2C451" w14:textId="5B5C871B" w:rsidR="004422F9" w:rsidRDefault="00B71307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</w:pPr>
      <w:r w:rsidRPr="004A61A9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6"/>
          <w:szCs w:val="26"/>
        </w:rPr>
        <w:t>Vattenskado</w:t>
      </w:r>
      <w:r w:rsidRPr="00B71307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r</w:t>
      </w:r>
    </w:p>
    <w:p w14:paraId="07B7F512" w14:textId="77777777" w:rsidR="009B3694" w:rsidRPr="009B3694" w:rsidRDefault="009B369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16"/>
          <w:szCs w:val="16"/>
        </w:rPr>
      </w:pPr>
    </w:p>
    <w:p w14:paraId="6DE8E583" w14:textId="0D135D22" w:rsidR="00B71307" w:rsidRDefault="00B71307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Risken för vattenskador finns främst i kök och dusch/badrum. Skadorna orsakas </w:t>
      </w:r>
      <w:r w:rsidR="00991CAD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framförallt av </w:t>
      </w: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läckage i rörskarvar och av rostangrepp.</w:t>
      </w:r>
    </w:p>
    <w:p w14:paraId="3AE89640" w14:textId="01F88781" w:rsidR="009B3694" w:rsidRDefault="009B369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36731690" w14:textId="2115880D" w:rsidR="009B3694" w:rsidRDefault="009B369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Tänk på att alltid anlita en behörig fackman för installation av disk- och tvättmaskiner. En vanlig orsak till vattenskador är att slangen till dessa maskiner </w:t>
      </w:r>
      <w:r w:rsidR="00B82105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brister </w:t>
      </w: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på </w:t>
      </w:r>
      <w:r w:rsidR="00B82105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grund av ålder och slitage. Gör det till en vana att alltid stänga av kranen för vattentillförseln när du inte är hemma.</w:t>
      </w:r>
    </w:p>
    <w:p w14:paraId="52111F35" w14:textId="75E70ED7" w:rsidR="00B82105" w:rsidRDefault="00B8210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1F2E2F65" w14:textId="2E7F2B90" w:rsidR="00B82105" w:rsidRDefault="00B8210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</w:pPr>
      <w:r w:rsidRPr="00B82105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Checklista för att förebygga vattenskador</w:t>
      </w:r>
    </w:p>
    <w:p w14:paraId="5FB6EDFB" w14:textId="07D498A5" w:rsidR="00B82105" w:rsidRPr="00B82105" w:rsidRDefault="00B8210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01F098FC" w14:textId="5AED425C" w:rsidR="00B82105" w:rsidRDefault="00B8210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Om något behöver åtgärdas, kontakta rörmokare eller ditt försäkringsbolag.</w:t>
      </w:r>
    </w:p>
    <w:p w14:paraId="288CE568" w14:textId="3EBE711A" w:rsidR="000375F1" w:rsidRPr="007963F7" w:rsidRDefault="000375F1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4394"/>
      </w:tblGrid>
      <w:tr w:rsidR="000375F1" w14:paraId="209EE9D6" w14:textId="77777777" w:rsidTr="003577F3">
        <w:tc>
          <w:tcPr>
            <w:tcW w:w="3539" w:type="dxa"/>
          </w:tcPr>
          <w:p w14:paraId="499CF565" w14:textId="1A6E598F" w:rsidR="000375F1" w:rsidRPr="000375F1" w:rsidRDefault="000375F1" w:rsidP="000375F1">
            <w:pPr>
              <w:ind w:right="379"/>
              <w:jc w:val="center"/>
              <w:rPr>
                <w:rStyle w:val="Starkreferens"/>
                <w:rFonts w:ascii="Arial" w:hAnsi="Arial" w:cs="Arial"/>
                <w:smallCaps w:val="0"/>
                <w:color w:val="auto"/>
              </w:rPr>
            </w:pPr>
            <w:r w:rsidRPr="000375F1">
              <w:rPr>
                <w:rStyle w:val="Starkreferens"/>
                <w:rFonts w:ascii="Arial" w:hAnsi="Arial" w:cs="Arial"/>
                <w:smallCaps w:val="0"/>
                <w:color w:val="auto"/>
              </w:rPr>
              <w:t>Byggnadsdel</w:t>
            </w:r>
          </w:p>
        </w:tc>
        <w:tc>
          <w:tcPr>
            <w:tcW w:w="567" w:type="dxa"/>
          </w:tcPr>
          <w:p w14:paraId="257F0E8B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165D9EB9" w14:textId="4480F72D" w:rsidR="000375F1" w:rsidRPr="000375F1" w:rsidRDefault="000375F1" w:rsidP="000375F1">
            <w:pPr>
              <w:ind w:right="379"/>
              <w:jc w:val="center"/>
              <w:rPr>
                <w:rStyle w:val="Starkreferens"/>
                <w:rFonts w:ascii="Arial" w:hAnsi="Arial" w:cs="Arial"/>
                <w:smallCaps w:val="0"/>
                <w:color w:val="auto"/>
              </w:rPr>
            </w:pPr>
            <w:r w:rsidRPr="000375F1">
              <w:rPr>
                <w:rStyle w:val="Starkreferens"/>
                <w:rFonts w:ascii="Arial" w:hAnsi="Arial" w:cs="Arial"/>
                <w:smallCaps w:val="0"/>
                <w:color w:val="auto"/>
              </w:rPr>
              <w:t>Kontroll</w:t>
            </w:r>
          </w:p>
        </w:tc>
      </w:tr>
      <w:tr w:rsidR="000375F1" w:rsidRPr="007A6E2C" w14:paraId="3E46AD97" w14:textId="77777777" w:rsidTr="003577F3">
        <w:tc>
          <w:tcPr>
            <w:tcW w:w="3539" w:type="dxa"/>
          </w:tcPr>
          <w:p w14:paraId="0B7D8D4A" w14:textId="77777777" w:rsidR="000375F1" w:rsidRPr="007A6E2C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A1FB7D" w14:textId="77777777" w:rsidR="000375F1" w:rsidRPr="007A6E2C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339DFAC" w14:textId="77777777" w:rsidR="000375F1" w:rsidRPr="007A6E2C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  <w:sz w:val="16"/>
                <w:szCs w:val="16"/>
              </w:rPr>
            </w:pPr>
          </w:p>
        </w:tc>
      </w:tr>
      <w:tr w:rsidR="000375F1" w14:paraId="4BA94C03" w14:textId="77777777" w:rsidTr="003577F3">
        <w:tc>
          <w:tcPr>
            <w:tcW w:w="3539" w:type="dxa"/>
          </w:tcPr>
          <w:p w14:paraId="387E471B" w14:textId="33F532AE" w:rsidR="000375F1" w:rsidRP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 w:rsidRPr="000375F1"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Kakel- och klinkerplattor</w:t>
            </w:r>
          </w:p>
        </w:tc>
        <w:tc>
          <w:tcPr>
            <w:tcW w:w="567" w:type="dxa"/>
          </w:tcPr>
          <w:p w14:paraId="5F7ABB10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6931F4E5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Fogarna är hela och utan miss-färgning</w:t>
            </w:r>
          </w:p>
          <w:p w14:paraId="02673001" w14:textId="48F48F80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</w:tr>
      <w:tr w:rsidR="000375F1" w14:paraId="4F487A5C" w14:textId="77777777" w:rsidTr="003577F3">
        <w:tc>
          <w:tcPr>
            <w:tcW w:w="3539" w:type="dxa"/>
          </w:tcPr>
          <w:p w14:paraId="01E38C97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Vattenlås/synliga ledningar och rörkopplingar (</w:t>
            </w:r>
            <w:r w:rsidR="00F93E23"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varm- och kallvattenledningar, dusch och blandare</w:t>
            </w:r>
          </w:p>
          <w:p w14:paraId="38D5EB08" w14:textId="3C8CD566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567" w:type="dxa"/>
          </w:tcPr>
          <w:p w14:paraId="01A65785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657832F9" w14:textId="14A6A386" w:rsidR="000375F1" w:rsidRDefault="00F93E23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Vattenlåsen är hela och rensade. Kopplingarna är hela och utan rost-angrepp</w:t>
            </w:r>
          </w:p>
        </w:tc>
      </w:tr>
      <w:tr w:rsidR="000375F1" w14:paraId="63930337" w14:textId="77777777" w:rsidTr="003577F3">
        <w:tc>
          <w:tcPr>
            <w:tcW w:w="3539" w:type="dxa"/>
          </w:tcPr>
          <w:p w14:paraId="2A8B030D" w14:textId="3066DD5F" w:rsidR="000375F1" w:rsidRDefault="00765E9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Armaturer (kranar)</w:t>
            </w:r>
          </w:p>
        </w:tc>
        <w:tc>
          <w:tcPr>
            <w:tcW w:w="567" w:type="dxa"/>
          </w:tcPr>
          <w:p w14:paraId="3200C538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229A27FF" w14:textId="77777777" w:rsidR="000375F1" w:rsidRDefault="00765E9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Inget droppläckage.  Täta genom-föringar.   Avstängningskran till disk- och tvättmaskin finns</w:t>
            </w:r>
          </w:p>
          <w:p w14:paraId="629AB15C" w14:textId="11952ADD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</w:tr>
      <w:tr w:rsidR="000375F1" w14:paraId="08CA42C2" w14:textId="77777777" w:rsidTr="003577F3">
        <w:tc>
          <w:tcPr>
            <w:tcW w:w="3539" w:type="dxa"/>
          </w:tcPr>
          <w:p w14:paraId="19EF4B4B" w14:textId="31265123" w:rsidR="000375F1" w:rsidRDefault="00765E9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proofErr w:type="gramStart"/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Porslin  (</w:t>
            </w:r>
            <w:proofErr w:type="gramEnd"/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WC-stol och handfat</w:t>
            </w:r>
          </w:p>
        </w:tc>
        <w:tc>
          <w:tcPr>
            <w:tcW w:w="567" w:type="dxa"/>
          </w:tcPr>
          <w:p w14:paraId="0C284ED2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20982EC2" w14:textId="77777777" w:rsidR="000375F1" w:rsidRDefault="00765E9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Porslinet är helt och utan sprickor. Inget ständigt smårinnande i WC-stolen.  Avstängningsventill WC-stol finns</w:t>
            </w:r>
          </w:p>
          <w:p w14:paraId="01648836" w14:textId="0EFD259A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</w:tr>
      <w:tr w:rsidR="000375F1" w14:paraId="5F7D8FB1" w14:textId="77777777" w:rsidTr="003577F3">
        <w:tc>
          <w:tcPr>
            <w:tcW w:w="3539" w:type="dxa"/>
          </w:tcPr>
          <w:p w14:paraId="526FB65D" w14:textId="131520E7" w:rsidR="000375F1" w:rsidRDefault="00DA7744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Diskbänk</w:t>
            </w:r>
          </w:p>
        </w:tc>
        <w:tc>
          <w:tcPr>
            <w:tcW w:w="567" w:type="dxa"/>
          </w:tcPr>
          <w:p w14:paraId="22B3E15F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721939C6" w14:textId="77777777" w:rsidR="000375F1" w:rsidRDefault="00DA7744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Avrinningsmatta finns i skåpet. Synliga rör och ledningar är utan rost och läcker inte</w:t>
            </w:r>
          </w:p>
          <w:p w14:paraId="69D9B18E" w14:textId="09468998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</w:tr>
      <w:tr w:rsidR="000375F1" w14:paraId="4841B864" w14:textId="77777777" w:rsidTr="003577F3">
        <w:tc>
          <w:tcPr>
            <w:tcW w:w="3539" w:type="dxa"/>
          </w:tcPr>
          <w:p w14:paraId="6EFE63D9" w14:textId="21151E6C" w:rsidR="000375F1" w:rsidRDefault="00DA7744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Disk- och tvättmaskin</w:t>
            </w:r>
          </w:p>
        </w:tc>
        <w:tc>
          <w:tcPr>
            <w:tcW w:w="567" w:type="dxa"/>
          </w:tcPr>
          <w:p w14:paraId="304960E9" w14:textId="77777777" w:rsidR="000375F1" w:rsidRDefault="000375F1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07C14C59" w14:textId="77777777" w:rsidR="000375F1" w:rsidRDefault="00B3278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 xml:space="preserve">Avrinningsmatta under </w:t>
            </w:r>
            <w:proofErr w:type="spellStart"/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diskmaski-nen</w:t>
            </w:r>
            <w:proofErr w:type="spellEnd"/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 xml:space="preserve"> finns.  Vatten- och avlopps-slangar är hela och inte för gamla.  Avstängningskran finns</w:t>
            </w:r>
          </w:p>
          <w:p w14:paraId="0A17A5D6" w14:textId="4CCA4B8D" w:rsidR="007A6E2C" w:rsidRDefault="007A6E2C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</w:tr>
      <w:tr w:rsidR="00B3278E" w14:paraId="65FEA106" w14:textId="77777777" w:rsidTr="003577F3">
        <w:tc>
          <w:tcPr>
            <w:tcW w:w="3539" w:type="dxa"/>
          </w:tcPr>
          <w:p w14:paraId="49F6998D" w14:textId="54061792" w:rsidR="00B3278E" w:rsidRDefault="00B3278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Element</w:t>
            </w:r>
          </w:p>
        </w:tc>
        <w:tc>
          <w:tcPr>
            <w:tcW w:w="567" w:type="dxa"/>
          </w:tcPr>
          <w:p w14:paraId="146D881F" w14:textId="77777777" w:rsidR="00B3278E" w:rsidRDefault="00B3278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</w:p>
        </w:tc>
        <w:tc>
          <w:tcPr>
            <w:tcW w:w="4394" w:type="dxa"/>
          </w:tcPr>
          <w:p w14:paraId="490BD531" w14:textId="3FF3CE78" w:rsidR="00B3278E" w:rsidRDefault="00B3278E" w:rsidP="00F877E2">
            <w:pPr>
              <w:ind w:right="379"/>
              <w:jc w:val="both"/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</w:pPr>
            <w:r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 xml:space="preserve">Termostat och kopplingar är hela och läcker </w:t>
            </w:r>
            <w:r w:rsidR="007A6E2C">
              <w:rPr>
                <w:rStyle w:val="Starkreferens"/>
                <w:rFonts w:ascii="Arial" w:hAnsi="Arial" w:cs="Arial"/>
                <w:b w:val="0"/>
                <w:bCs w:val="0"/>
                <w:smallCaps w:val="0"/>
                <w:color w:val="auto"/>
              </w:rPr>
              <w:t>inte</w:t>
            </w:r>
          </w:p>
        </w:tc>
      </w:tr>
    </w:tbl>
    <w:p w14:paraId="1619B06F" w14:textId="5DA6AF4B" w:rsidR="00B82105" w:rsidRPr="004A61A9" w:rsidRDefault="00101F1D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6"/>
          <w:szCs w:val="26"/>
        </w:rPr>
      </w:pPr>
      <w:r w:rsidRPr="004A61A9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6"/>
          <w:szCs w:val="26"/>
        </w:rPr>
        <w:lastRenderedPageBreak/>
        <w:t>Brandskydd</w:t>
      </w:r>
    </w:p>
    <w:p w14:paraId="65014E88" w14:textId="5E9FC32F" w:rsidR="00101F1D" w:rsidRPr="00603E25" w:rsidRDefault="00101F1D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320FD457" w14:textId="585C1107" w:rsidR="00101F1D" w:rsidRDefault="00101F1D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Råd och information kring brandskydd finns på  </w:t>
      </w:r>
      <w:hyperlink r:id="rId8" w:history="1">
        <w:r w:rsidRPr="00AB5CC0">
          <w:rPr>
            <w:rStyle w:val="Hyperlnk"/>
            <w:rFonts w:ascii="Arial" w:hAnsi="Arial" w:cs="Arial"/>
            <w:spacing w:val="5"/>
          </w:rPr>
          <w:t>www.brandskyddforeningen.se</w:t>
        </w:r>
      </w:hyperlink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</w:t>
      </w:r>
    </w:p>
    <w:p w14:paraId="5F0613FB" w14:textId="0739673E" w:rsidR="00101F1D" w:rsidRDefault="00101F1D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403A6DF2" w14:textId="07A34CDE" w:rsidR="00101F1D" w:rsidRPr="00CB63DE" w:rsidRDefault="00CB63DE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</w:pPr>
      <w:r w:rsidRPr="00CB63DE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Brandvarnare</w:t>
      </w:r>
    </w:p>
    <w:p w14:paraId="1EC8A43C" w14:textId="5CD14247" w:rsidR="00CB63DE" w:rsidRPr="00603E25" w:rsidRDefault="00CB63DE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62E88B90" w14:textId="033D73F7" w:rsidR="00CB63DE" w:rsidRDefault="00CB63DE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Minst en brandvarnare bör finnas i varje lägenhet.</w:t>
      </w:r>
    </w:p>
    <w:p w14:paraId="477BB825" w14:textId="705433E9" w:rsidR="008D7D12" w:rsidRPr="00603E25" w:rsidRDefault="008D7D12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4FB3B983" w14:textId="77777777" w:rsidR="008D7D12" w:rsidRPr="008D7D12" w:rsidRDefault="008D7D12" w:rsidP="008D7D12">
      <w:pPr>
        <w:shd w:val="clear" w:color="auto" w:fill="FFFFFF"/>
        <w:spacing w:after="100" w:afterAutospacing="1" w:line="375" w:lineRule="atLeast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Var ska du montera brandvarnarna?</w:t>
      </w:r>
    </w:p>
    <w:p w14:paraId="1D586D52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Brandvarnare bör placeras i eller intill sovrum.</w:t>
      </w:r>
    </w:p>
    <w:p w14:paraId="6466A9E5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Placera brandvarnare nära köket, där det är vanligt att bränder börjar.</w:t>
      </w:r>
    </w:p>
    <w:p w14:paraId="51909E7E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Brandvarnarna placeras i taket och helst mitt i rummet, men minst 50 cm från vägg.</w:t>
      </w:r>
    </w:p>
    <w:p w14:paraId="341D1B9F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Om det inte går att montera i tak, kan brandvarnare monteras på vägg, cirka 15 cm från taket. Väggmontage kan dock fördröja tiden för aktivering.</w:t>
      </w:r>
    </w:p>
    <w:p w14:paraId="5BB9600D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Ett fritt utrymme på minst 50 cm ska finnas runt om brandvarnarna.</w:t>
      </w:r>
    </w:p>
    <w:p w14:paraId="71A6C2E3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Brandvarnare ska inte placeras i närheten av ventilationsöppningar.</w:t>
      </w:r>
    </w:p>
    <w:p w14:paraId="258F7B72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Följ leverantörens anvisningar hur brandvarnare ska monteras.</w:t>
      </w:r>
    </w:p>
    <w:p w14:paraId="0C7F9D5B" w14:textId="77777777" w:rsidR="008D7D12" w:rsidRPr="008D7D12" w:rsidRDefault="008D7D12" w:rsidP="008D7D1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8D7D12">
        <w:rPr>
          <w:rFonts w:ascii="Arial" w:eastAsia="Times New Roman" w:hAnsi="Arial" w:cs="Arial"/>
          <w:lang w:eastAsia="sv-SE"/>
        </w:rPr>
        <w:t>Glöm inte att testa brandvarnarna när du monterat upp dem!</w:t>
      </w:r>
    </w:p>
    <w:p w14:paraId="695874FE" w14:textId="1DCEB99E" w:rsidR="008D7D12" w:rsidRDefault="008D7D12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1EB3B353" w14:textId="6CAB6761" w:rsidR="00C954FC" w:rsidRPr="00C954FC" w:rsidRDefault="00C954F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</w:pPr>
      <w:r w:rsidRPr="00C954FC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Brandfilt</w:t>
      </w:r>
    </w:p>
    <w:p w14:paraId="06A9EFE0" w14:textId="3D3D65D3" w:rsidR="00C954FC" w:rsidRPr="00603E25" w:rsidRDefault="00C954F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77782F68" w14:textId="246FEA34" w:rsidR="00C954FC" w:rsidRDefault="00C954F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Placera en brandfilt i anslutning till köket. </w:t>
      </w:r>
      <w:r w:rsidR="003714B4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Brand på spis, </w:t>
      </w:r>
      <w:proofErr w:type="spellStart"/>
      <w:r w:rsidR="003714B4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stekhällar</w:t>
      </w:r>
      <w:proofErr w:type="spellEnd"/>
      <w:r w:rsidR="003714B4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och andra plana ytor släcks snabbt och effektivt med hjälp av brandfilten.</w:t>
      </w:r>
    </w:p>
    <w:p w14:paraId="74789A70" w14:textId="51C9BAD0" w:rsidR="003714B4" w:rsidRDefault="003714B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456FEA6E" w14:textId="0A818EB7" w:rsidR="00EB6042" w:rsidRPr="00EB6042" w:rsidRDefault="003714B4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</w:pPr>
      <w:r w:rsidRPr="003714B4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Brandsläcka</w:t>
      </w:r>
      <w:r w:rsidR="00EB6042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4"/>
          <w:szCs w:val="24"/>
        </w:rPr>
        <w:t>re</w:t>
      </w:r>
    </w:p>
    <w:p w14:paraId="6BE98751" w14:textId="77777777" w:rsidR="00EB6042" w:rsidRPr="00EB6042" w:rsidRDefault="00EB6042" w:rsidP="00EB6042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EB6042">
        <w:rPr>
          <w:rFonts w:ascii="Arial" w:eastAsia="Times New Roman" w:hAnsi="Arial" w:cs="Arial"/>
          <w:lang w:eastAsia="sv-SE"/>
        </w:rPr>
        <w:t>Handbrandsläckare i hemmet bör minst vara A och B klassad.</w:t>
      </w:r>
    </w:p>
    <w:p w14:paraId="06B313F3" w14:textId="77777777" w:rsidR="00EB6042" w:rsidRPr="00EB6042" w:rsidRDefault="00EB6042" w:rsidP="00EB6042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EB6042">
        <w:rPr>
          <w:rFonts w:ascii="Arial" w:eastAsia="Times New Roman" w:hAnsi="Arial" w:cs="Arial"/>
          <w:lang w:eastAsia="sv-SE"/>
        </w:rPr>
        <w:t>Pulversläckare har mycket släckeffektivitet per kilo släckmedel och är relativt lätt att använda även för dig som ovan användare.</w:t>
      </w:r>
    </w:p>
    <w:p w14:paraId="1F111730" w14:textId="77777777" w:rsidR="00EB6042" w:rsidRPr="00EB6042" w:rsidRDefault="00EB6042" w:rsidP="00EB6042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EB6042">
        <w:rPr>
          <w:rFonts w:ascii="Arial" w:eastAsia="Times New Roman" w:hAnsi="Arial" w:cs="Arial"/>
          <w:lang w:eastAsia="sv-SE"/>
        </w:rPr>
        <w:t>Pulversläckaren är relativt underhållsfri.</w:t>
      </w:r>
    </w:p>
    <w:p w14:paraId="135C8684" w14:textId="77777777" w:rsidR="00EB6042" w:rsidRPr="00EB6042" w:rsidRDefault="00EB6042" w:rsidP="00EB6042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EB6042">
        <w:rPr>
          <w:rFonts w:ascii="Arial" w:eastAsia="Times New Roman" w:hAnsi="Arial" w:cs="Arial"/>
          <w:lang w:eastAsia="sv-SE"/>
        </w:rPr>
        <w:t>För hemmet, villan, fritidshuset och kontoret rekommenderas en pulversläckare på minst 6 kg.</w:t>
      </w:r>
    </w:p>
    <w:p w14:paraId="5FA12D53" w14:textId="77777777" w:rsidR="00EB6042" w:rsidRPr="00EB6042" w:rsidRDefault="00EB6042" w:rsidP="00EB6042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eastAsia="Times New Roman" w:hAnsi="Arial" w:cs="Arial"/>
          <w:lang w:eastAsia="sv-SE"/>
        </w:rPr>
      </w:pPr>
      <w:r w:rsidRPr="00EB6042">
        <w:rPr>
          <w:rFonts w:ascii="Arial" w:eastAsia="Times New Roman" w:hAnsi="Arial" w:cs="Arial"/>
          <w:lang w:eastAsia="sv-SE"/>
        </w:rPr>
        <w:t>Släckaren ska vara certifierad av SBSC, DNV eller annat SWEDAC-ackrediterat certifieringsorgan. </w:t>
      </w:r>
    </w:p>
    <w:p w14:paraId="0CCF8598" w14:textId="3A41FAB5" w:rsidR="00EB6042" w:rsidRDefault="00EB6042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Kontrollera varje månad att brandsläckaren är laddad och att den inte har några skador. En pulversläckare bör laddas om vart </w:t>
      </w:r>
      <w:r w:rsidR="00603E25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tionde år.</w:t>
      </w:r>
    </w:p>
    <w:p w14:paraId="103BCA3F" w14:textId="60CA9A37" w:rsidR="00603E25" w:rsidRPr="00603E25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</w:p>
    <w:p w14:paraId="578B2D2F" w14:textId="49130CDB" w:rsidR="00603E25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Trapphus, vinds- och källargångar och andra allmänna utrymmen skall hållas fria från skräp, barnvagnar, dörrmattor, grovsopor och annat brännbart </w:t>
      </w:r>
      <w:proofErr w:type="spellStart"/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mateerial</w:t>
      </w:r>
      <w:proofErr w:type="spellEnd"/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.</w:t>
      </w:r>
    </w:p>
    <w:p w14:paraId="77C08926" w14:textId="0CF54404" w:rsidR="00603E25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383EF564" w14:textId="0CCFD45B" w:rsidR="00603E25" w:rsidRPr="004A61A9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6"/>
          <w:szCs w:val="26"/>
        </w:rPr>
      </w:pPr>
      <w:r w:rsidRPr="004A61A9">
        <w:rPr>
          <w:rStyle w:val="Starkreferens"/>
          <w:rFonts w:ascii="Arial" w:hAnsi="Arial" w:cs="Arial"/>
          <w:b w:val="0"/>
          <w:bCs w:val="0"/>
          <w:i/>
          <w:iCs/>
          <w:smallCaps w:val="0"/>
          <w:color w:val="auto"/>
          <w:sz w:val="26"/>
          <w:szCs w:val="26"/>
        </w:rPr>
        <w:t>Förebygga inbrott</w:t>
      </w:r>
    </w:p>
    <w:p w14:paraId="1C126FAB" w14:textId="14981FA4" w:rsidR="00603E25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2B0283C3" w14:textId="5FF97050" w:rsidR="00603E25" w:rsidRDefault="00603E25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Läs om lås, säkerhetsdörr och larm på </w:t>
      </w:r>
      <w:hyperlink r:id="rId9" w:history="1">
        <w:r w:rsidR="00706F01" w:rsidRPr="009A6518">
          <w:rPr>
            <w:rStyle w:val="Hyperlnk"/>
            <w:rFonts w:ascii="Arial" w:hAnsi="Arial" w:cs="Arial"/>
            <w:spacing w:val="5"/>
          </w:rPr>
          <w:t>www.stoldskyddsforeningen.se</w:t>
        </w:r>
      </w:hyperlink>
      <w:r w:rsidR="00706F01"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 xml:space="preserve"> </w:t>
      </w:r>
    </w:p>
    <w:p w14:paraId="7F568ED7" w14:textId="36B2CFE2" w:rsidR="00706F01" w:rsidRDefault="00706F01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04DDDBA9" w14:textId="19AE676E" w:rsidR="00706F01" w:rsidRDefault="00706F01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  <w:r>
        <w:rPr>
          <w:rStyle w:val="Starkreferens"/>
          <w:rFonts w:ascii="Arial" w:hAnsi="Arial" w:cs="Arial"/>
          <w:b w:val="0"/>
          <w:bCs w:val="0"/>
          <w:smallCaps w:val="0"/>
          <w:color w:val="auto"/>
        </w:rPr>
        <w:t>Var också uppmärksam på vilka som vistas i trapphus och i omgivningen.</w:t>
      </w:r>
    </w:p>
    <w:p w14:paraId="52C29DA8" w14:textId="0F2726CD" w:rsidR="00816B4C" w:rsidRDefault="00816B4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6C08481C" w14:textId="14C33882" w:rsidR="00816B4C" w:rsidRDefault="00816B4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205BA114" w14:textId="763F4B89" w:rsidR="00816B4C" w:rsidRDefault="00816B4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7541CDB6" w14:textId="787DC490" w:rsidR="00816B4C" w:rsidRDefault="00816B4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</w:rPr>
      </w:pPr>
    </w:p>
    <w:p w14:paraId="0BEAB57D" w14:textId="7B520AA3" w:rsidR="00816B4C" w:rsidRPr="00816B4C" w:rsidRDefault="00816B4C" w:rsidP="00F877E2">
      <w:pPr>
        <w:ind w:right="379"/>
        <w:jc w:val="both"/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</w:pPr>
      <w:r w:rsidRPr="00816B4C">
        <w:rPr>
          <w:rStyle w:val="Starkreferens"/>
          <w:rFonts w:ascii="Arial" w:hAnsi="Arial" w:cs="Arial"/>
          <w:b w:val="0"/>
          <w:bCs w:val="0"/>
          <w:smallCaps w:val="0"/>
          <w:color w:val="auto"/>
          <w:sz w:val="16"/>
          <w:szCs w:val="16"/>
        </w:rPr>
        <w:t>Uppdaterad 05/2020</w:t>
      </w:r>
    </w:p>
    <w:sectPr w:rsidR="00816B4C" w:rsidRPr="00816B4C" w:rsidSect="00123E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EA0C" w14:textId="77777777" w:rsidR="00D23000" w:rsidRDefault="00D23000" w:rsidP="005F045B">
      <w:r>
        <w:separator/>
      </w:r>
    </w:p>
  </w:endnote>
  <w:endnote w:type="continuationSeparator" w:id="0">
    <w:p w14:paraId="23B9E8D2" w14:textId="77777777" w:rsidR="00D23000" w:rsidRDefault="00D23000" w:rsidP="005F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38C7" w14:textId="77777777" w:rsidR="00B44197" w:rsidRDefault="00B441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5FF4" w14:textId="77777777" w:rsidR="00B44197" w:rsidRDefault="00B441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A4637" w14:textId="77777777" w:rsidR="00B44197" w:rsidRDefault="00B441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55AE0" w14:textId="77777777" w:rsidR="00D23000" w:rsidRDefault="00D23000" w:rsidP="005F045B">
      <w:r>
        <w:separator/>
      </w:r>
    </w:p>
  </w:footnote>
  <w:footnote w:type="continuationSeparator" w:id="0">
    <w:p w14:paraId="46E968E4" w14:textId="77777777" w:rsidR="00D23000" w:rsidRDefault="00D23000" w:rsidP="005F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463E3" w14:textId="77777777" w:rsidR="00B44197" w:rsidRDefault="00B441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2249779"/>
      <w:docPartObj>
        <w:docPartGallery w:val="Page Numbers (Top of Page)"/>
        <w:docPartUnique/>
      </w:docPartObj>
    </w:sdtPr>
    <w:sdtEndPr/>
    <w:sdtContent>
      <w:p w14:paraId="39E88C60" w14:textId="4CDB242F" w:rsidR="005F045B" w:rsidRDefault="00B44197" w:rsidP="00B4419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67CF" w14:textId="77777777" w:rsidR="00B44197" w:rsidRDefault="00B441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77CBA"/>
    <w:multiLevelType w:val="multilevel"/>
    <w:tmpl w:val="67B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325E7"/>
    <w:multiLevelType w:val="multilevel"/>
    <w:tmpl w:val="958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A1"/>
    <w:rsid w:val="000375F1"/>
    <w:rsid w:val="00101F1D"/>
    <w:rsid w:val="00123EE3"/>
    <w:rsid w:val="00351C6D"/>
    <w:rsid w:val="003577F3"/>
    <w:rsid w:val="003714B4"/>
    <w:rsid w:val="004422F9"/>
    <w:rsid w:val="004A61A9"/>
    <w:rsid w:val="004C6B9E"/>
    <w:rsid w:val="00516E11"/>
    <w:rsid w:val="005F045B"/>
    <w:rsid w:val="00603E25"/>
    <w:rsid w:val="00620B3F"/>
    <w:rsid w:val="0063305D"/>
    <w:rsid w:val="00706F01"/>
    <w:rsid w:val="00765E9E"/>
    <w:rsid w:val="007963F7"/>
    <w:rsid w:val="007A6E2C"/>
    <w:rsid w:val="007B56A1"/>
    <w:rsid w:val="00816B4C"/>
    <w:rsid w:val="00834D32"/>
    <w:rsid w:val="008D7D12"/>
    <w:rsid w:val="00946D9B"/>
    <w:rsid w:val="00991CAD"/>
    <w:rsid w:val="009B3694"/>
    <w:rsid w:val="00A3607C"/>
    <w:rsid w:val="00B3278E"/>
    <w:rsid w:val="00B44197"/>
    <w:rsid w:val="00B71307"/>
    <w:rsid w:val="00B82105"/>
    <w:rsid w:val="00C36522"/>
    <w:rsid w:val="00C954FC"/>
    <w:rsid w:val="00CA7855"/>
    <w:rsid w:val="00CB63DE"/>
    <w:rsid w:val="00D23000"/>
    <w:rsid w:val="00DA7744"/>
    <w:rsid w:val="00E72F30"/>
    <w:rsid w:val="00EB6042"/>
    <w:rsid w:val="00F81C52"/>
    <w:rsid w:val="00F877E2"/>
    <w:rsid w:val="00F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6B297"/>
  <w15:chartTrackingRefBased/>
  <w15:docId w15:val="{6FFF47C9-6099-42CF-BCA2-E999094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7963F7"/>
    <w:rPr>
      <w:b/>
      <w:bCs/>
      <w:smallCaps/>
      <w:color w:val="4472C4" w:themeColor="accent1"/>
      <w:spacing w:val="5"/>
    </w:rPr>
  </w:style>
  <w:style w:type="table" w:styleId="Tabellrutnt">
    <w:name w:val="Table Grid"/>
    <w:basedOn w:val="Normaltabell"/>
    <w:uiPriority w:val="39"/>
    <w:rsid w:val="0003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2">
    <w:name w:val="Plain Table 2"/>
    <w:basedOn w:val="Normaltabell"/>
    <w:uiPriority w:val="42"/>
    <w:rsid w:val="000375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5">
    <w:name w:val="Plain Table 5"/>
    <w:basedOn w:val="Normaltabell"/>
    <w:uiPriority w:val="45"/>
    <w:rsid w:val="003577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1">
    <w:name w:val="Plain Table 1"/>
    <w:basedOn w:val="Normaltabell"/>
    <w:uiPriority w:val="41"/>
    <w:rsid w:val="003577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3577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5F045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045B"/>
  </w:style>
  <w:style w:type="paragraph" w:styleId="Sidfot">
    <w:name w:val="footer"/>
    <w:basedOn w:val="Normal"/>
    <w:link w:val="SidfotChar"/>
    <w:uiPriority w:val="99"/>
    <w:unhideWhenUsed/>
    <w:rsid w:val="005F045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045B"/>
  </w:style>
  <w:style w:type="character" w:styleId="Hyperlnk">
    <w:name w:val="Hyperlink"/>
    <w:basedOn w:val="Standardstycketeckensnitt"/>
    <w:uiPriority w:val="99"/>
    <w:unhideWhenUsed/>
    <w:rsid w:val="00101F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30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0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DEDED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29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3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skyddforening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ldskyddsforeningen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1C4-05F9-41BE-A40D-531C5218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Holm</dc:creator>
  <cp:keywords/>
  <dc:description/>
  <cp:lastModifiedBy>Maria Gallego Mattsson</cp:lastModifiedBy>
  <cp:revision>2</cp:revision>
  <dcterms:created xsi:type="dcterms:W3CDTF">2020-06-13T05:30:00Z</dcterms:created>
  <dcterms:modified xsi:type="dcterms:W3CDTF">2020-06-13T05:30:00Z</dcterms:modified>
</cp:coreProperties>
</file>